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DE99F" w14:textId="77777777" w:rsidR="001130D0" w:rsidRDefault="001130D0" w:rsidP="001130D0">
      <w:pPr>
        <w:pBdr>
          <w:bottom w:val="single" w:sz="4" w:space="1" w:color="auto"/>
        </w:pBdr>
        <w:rPr>
          <w:b/>
          <w:bCs/>
          <w:sz w:val="44"/>
          <w:szCs w:val="44"/>
        </w:rPr>
      </w:pPr>
      <w:r>
        <w:rPr>
          <w:b/>
          <w:bCs/>
          <w:sz w:val="44"/>
          <w:szCs w:val="44"/>
        </w:rPr>
        <w:t>Pressemeldung</w:t>
      </w:r>
    </w:p>
    <w:p w14:paraId="3A6BFBE8" w14:textId="77777777" w:rsidR="001130D0" w:rsidRDefault="001130D0" w:rsidP="001130D0">
      <w:pPr>
        <w:tabs>
          <w:tab w:val="left" w:pos="993"/>
        </w:tabs>
        <w:rPr>
          <w:b/>
          <w:bCs/>
          <w:sz w:val="44"/>
          <w:szCs w:val="44"/>
        </w:rPr>
      </w:pPr>
      <w:r w:rsidRPr="001130D0">
        <w:rPr>
          <w:b/>
          <w:bCs/>
        </w:rPr>
        <w:t>Hinweis:</w:t>
      </w:r>
      <w:r w:rsidRPr="001130D0">
        <w:rPr>
          <w:b/>
          <w:bCs/>
        </w:rPr>
        <w:br/>
      </w:r>
      <w:r>
        <w:t xml:space="preserve">Diese Pressemeldung können Sie auch in elektronischer Form direkt unter </w:t>
      </w:r>
      <w:hyperlink r:id="rId5" w:history="1">
        <w:r w:rsidRPr="00CC7258">
          <w:rPr>
            <w:rStyle w:val="Hyperlink"/>
          </w:rPr>
          <w:t>www.vdm-shm/presse</w:t>
        </w:r>
      </w:hyperlink>
      <w:r>
        <w:t xml:space="preserve"> herunterladen</w:t>
      </w:r>
      <w:r>
        <w:t>.</w:t>
      </w:r>
      <w:r>
        <w:br/>
        <w:t xml:space="preserve">Umfang: </w:t>
      </w:r>
      <w:r>
        <w:tab/>
        <w:t>4200 Zeichen (inkl. Leerzeichen)</w:t>
      </w:r>
      <w:r>
        <w:br/>
        <w:t xml:space="preserve">Sperrfrist: </w:t>
      </w:r>
      <w:r>
        <w:tab/>
        <w:t>Keine</w:t>
      </w:r>
      <w:r>
        <w:br/>
      </w:r>
      <w:r>
        <w:rPr>
          <w:b/>
          <w:bCs/>
          <w:sz w:val="44"/>
          <w:szCs w:val="44"/>
        </w:rPr>
        <w:br/>
      </w:r>
    </w:p>
    <w:p w14:paraId="1EC20CE9" w14:textId="30B8BE5E" w:rsidR="0019793C" w:rsidRPr="0019793C" w:rsidRDefault="0019793C" w:rsidP="001130D0">
      <w:pPr>
        <w:tabs>
          <w:tab w:val="left" w:pos="993"/>
        </w:tabs>
        <w:rPr>
          <w:b/>
          <w:bCs/>
          <w:sz w:val="44"/>
          <w:szCs w:val="44"/>
        </w:rPr>
      </w:pPr>
      <w:r w:rsidRPr="0019793C">
        <w:rPr>
          <w:b/>
          <w:bCs/>
          <w:sz w:val="44"/>
          <w:szCs w:val="44"/>
        </w:rPr>
        <w:t xml:space="preserve">Systemische Health Maps </w:t>
      </w:r>
      <w:r>
        <w:rPr>
          <w:b/>
          <w:bCs/>
          <w:sz w:val="44"/>
          <w:szCs w:val="44"/>
        </w:rPr>
        <w:br/>
      </w:r>
      <w:r w:rsidRPr="0019793C">
        <w:rPr>
          <w:b/>
          <w:bCs/>
          <w:sz w:val="44"/>
          <w:szCs w:val="44"/>
        </w:rPr>
        <w:t>Die absolut neuartige Therapieunterstützung</w:t>
      </w:r>
    </w:p>
    <w:p w14:paraId="6E255999" w14:textId="2FCF595A" w:rsidR="0019793C" w:rsidRDefault="0019793C"/>
    <w:p w14:paraId="40A3AE02" w14:textId="44DCB3F7" w:rsidR="0019793C" w:rsidRDefault="0019793C">
      <w:r w:rsidRPr="00C16A97">
        <w:rPr>
          <w:i/>
          <w:iCs/>
        </w:rPr>
        <w:t>Bei jedem gesundheitlichen Defizit gibt es zahlreiche verschiedene Herangehensweisen, um diese zu verbessern.</w:t>
      </w:r>
      <w:r w:rsidR="00C16A97" w:rsidRPr="00C16A97">
        <w:rPr>
          <w:i/>
          <w:iCs/>
        </w:rPr>
        <w:t xml:space="preserve"> Die von der VDM-Academy erstellten Health Maps bieten die einzigartige Möglichkeit, auf einen Blick zahlreiche Therapieansätze zu sehen, um danach entscheiden zu können, was für den Kunden optimal ist.</w:t>
      </w:r>
      <w:r w:rsidR="00C16A97" w:rsidRPr="00C16A97">
        <w:rPr>
          <w:i/>
          <w:iCs/>
        </w:rPr>
        <w:br/>
      </w:r>
      <w:r w:rsidR="00C16A97" w:rsidRPr="00C16A97">
        <w:rPr>
          <w:i/>
          <w:iCs/>
        </w:rPr>
        <w:br/>
      </w:r>
      <w:r w:rsidR="00C16A97">
        <w:t xml:space="preserve">In einer äusserst aufwändigen und über Monate dauernden Arbeit und einem Team von 16 Personen aus den Bereichen Naturheilkunde, orthomolekulare Medizin, Ernährungsberatung, Coaching und Nahrungsergänzungen wurden zu den rund 300 häufigsten gesundheitlichen Defiziten ansprechende systemische Health Maps – eine Spezifizierung der bekannten MindMaps – realisiert, welche es sowohl therapeutisch tätigen Personen aber auch Organisationen </w:t>
      </w:r>
      <w:r w:rsidR="003147E6">
        <w:t xml:space="preserve">aus dem Gesundheitsbereich </w:t>
      </w:r>
      <w:r w:rsidR="00C16A97">
        <w:t xml:space="preserve">und Privatpersonen ermöglichen, auf einen Blick </w:t>
      </w:r>
      <w:r w:rsidR="003147E6">
        <w:t>verschiedene mögliche Therapieansätze zu erkennen.</w:t>
      </w:r>
    </w:p>
    <w:p w14:paraId="61F0DD00" w14:textId="4E21427D" w:rsidR="003147E6" w:rsidRDefault="003147E6"/>
    <w:p w14:paraId="6D0094F1" w14:textId="28B21D45" w:rsidR="003147E6" w:rsidRDefault="003147E6">
      <w:r>
        <w:rPr>
          <w:noProof/>
        </w:rPr>
        <w:drawing>
          <wp:inline distT="0" distB="0" distL="0" distR="0" wp14:anchorId="5419AAC5" wp14:editId="66E66915">
            <wp:extent cx="6533162" cy="3629025"/>
            <wp:effectExtent l="19050" t="19050" r="2032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6">
                      <a:extLst>
                        <a:ext uri="{28A0092B-C50C-407E-A947-70E740481C1C}">
                          <a14:useLocalDpi xmlns:a14="http://schemas.microsoft.com/office/drawing/2010/main" val="0"/>
                        </a:ext>
                      </a:extLst>
                    </a:blip>
                    <a:stretch>
                      <a:fillRect/>
                    </a:stretch>
                  </pic:blipFill>
                  <pic:spPr>
                    <a:xfrm>
                      <a:off x="0" y="0"/>
                      <a:ext cx="6538620" cy="3632057"/>
                    </a:xfrm>
                    <a:prstGeom prst="rect">
                      <a:avLst/>
                    </a:prstGeom>
                    <a:ln>
                      <a:solidFill>
                        <a:schemeClr val="tx1"/>
                      </a:solidFill>
                    </a:ln>
                  </pic:spPr>
                </pic:pic>
              </a:graphicData>
            </a:graphic>
          </wp:inline>
        </w:drawing>
      </w:r>
    </w:p>
    <w:p w14:paraId="32AEB5F7" w14:textId="7E79361F" w:rsidR="003147E6" w:rsidRPr="003147E6" w:rsidRDefault="003147E6">
      <w:pPr>
        <w:rPr>
          <w:i/>
          <w:iCs/>
        </w:rPr>
      </w:pPr>
      <w:r w:rsidRPr="003147E6">
        <w:rPr>
          <w:i/>
          <w:iCs/>
        </w:rPr>
        <w:t xml:space="preserve">Muster einer Systemischen Health </w:t>
      </w:r>
      <w:proofErr w:type="spellStart"/>
      <w:r w:rsidRPr="003147E6">
        <w:rPr>
          <w:i/>
          <w:iCs/>
        </w:rPr>
        <w:t>Map</w:t>
      </w:r>
      <w:proofErr w:type="spellEnd"/>
    </w:p>
    <w:p w14:paraId="75DE068C" w14:textId="0B1E4950" w:rsidR="003147E6" w:rsidRDefault="003147E6"/>
    <w:p w14:paraId="20FFB3D0" w14:textId="77777777" w:rsidR="001130D0" w:rsidRDefault="001130D0">
      <w:pPr>
        <w:rPr>
          <w:b/>
          <w:bCs/>
        </w:rPr>
      </w:pPr>
      <w:r>
        <w:rPr>
          <w:b/>
          <w:bCs/>
        </w:rPr>
        <w:br w:type="page"/>
      </w:r>
    </w:p>
    <w:p w14:paraId="268A7FCB" w14:textId="114862B7" w:rsidR="003147E6" w:rsidRPr="003147E6" w:rsidRDefault="003147E6">
      <w:pPr>
        <w:rPr>
          <w:b/>
          <w:bCs/>
        </w:rPr>
      </w:pPr>
      <w:r w:rsidRPr="003147E6">
        <w:rPr>
          <w:b/>
          <w:bCs/>
        </w:rPr>
        <w:lastRenderedPageBreak/>
        <w:t>Immer aktuell</w:t>
      </w:r>
      <w:r>
        <w:rPr>
          <w:b/>
          <w:bCs/>
        </w:rPr>
        <w:t xml:space="preserve"> und</w:t>
      </w:r>
      <w:r w:rsidRPr="003147E6">
        <w:rPr>
          <w:b/>
          <w:bCs/>
        </w:rPr>
        <w:t xml:space="preserve"> stets </w:t>
      </w:r>
      <w:r>
        <w:rPr>
          <w:b/>
          <w:bCs/>
        </w:rPr>
        <w:t>verfügbar</w:t>
      </w:r>
      <w:r>
        <w:rPr>
          <w:b/>
          <w:bCs/>
        </w:rPr>
        <w:br/>
      </w:r>
      <w:r w:rsidRPr="003147E6">
        <w:t xml:space="preserve">Während man </w:t>
      </w:r>
      <w:r>
        <w:t xml:space="preserve">zu Beginn des Projektes 2021 noch versucht war, die Maps im Printformat in 2 Ordnern übersichtlich strukturiert abzugeben, verschwand diese Idee im Laufe des Projektes immer mehr im Hintergrund, da der Umfang laufend anwuchs und es auch finanziell wenig Sinn macht, </w:t>
      </w:r>
      <w:r w:rsidR="004B4032">
        <w:t>zwei</w:t>
      </w:r>
      <w:r>
        <w:t xml:space="preserve"> Ordner mit je rund 350 Seiten von Maps abzugeben.</w:t>
      </w:r>
      <w:r>
        <w:br/>
        <w:t xml:space="preserve">Der entscheidende Vorteil ist aber die laufende Aktualisierung und Erweiterung, denn wer selber Abonnent/in der </w:t>
      </w:r>
      <w:r w:rsidR="004B4032">
        <w:t>S</w:t>
      </w:r>
      <w:r>
        <w:t>ystemischen Health Maps und therapeutisch tätig ist, kann jederzeit Ergänzungen anbringen, welche zeitnah umgesetzt und die Maps so ergänzt werden. Schon kur nach dem Start kamen bereits erste Anfragen von Herstellern eig</w:t>
      </w:r>
      <w:r w:rsidR="00C4082A">
        <w:t>e</w:t>
      </w:r>
      <w:r>
        <w:t>ner Nahrungsergänzungen und speziellen Therapievorgehen</w:t>
      </w:r>
      <w:r w:rsidR="004B4032">
        <w:t xml:space="preserve"> bezüglich Aufnahme in die Maps, was dank dem Onlinesystem sehr gut zu bewerkstelligen ist. </w:t>
      </w:r>
      <w:r w:rsidR="004B4032">
        <w:br/>
        <w:t>Ein weiterer wichtiger Vorteil ist es, dass die systemischen Health Maps dank dem Onlinesystem stets immer und überall verfügbar sind, so dass man in der Praxis sehr einfach von PC oder Mac, bei Auswärtsbesuchen aber ebenso gut via Laptop oder Tablett darauf zugreifen kann.</w:t>
      </w:r>
    </w:p>
    <w:p w14:paraId="32AE92F1" w14:textId="77417D18" w:rsidR="00775EC1" w:rsidRDefault="00775EC1">
      <w:pPr>
        <w:rPr>
          <w:b/>
          <w:bCs/>
        </w:rPr>
      </w:pPr>
      <w:r w:rsidRPr="00775EC1">
        <w:rPr>
          <w:b/>
          <w:bCs/>
        </w:rPr>
        <w:drawing>
          <wp:inline distT="0" distB="0" distL="0" distR="0" wp14:anchorId="266901A0" wp14:editId="78FE1618">
            <wp:extent cx="6840220" cy="4286885"/>
            <wp:effectExtent l="19050" t="19050" r="17780" b="18415"/>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7"/>
                    <a:stretch>
                      <a:fillRect/>
                    </a:stretch>
                  </pic:blipFill>
                  <pic:spPr>
                    <a:xfrm>
                      <a:off x="0" y="0"/>
                      <a:ext cx="6840220" cy="4286885"/>
                    </a:xfrm>
                    <a:prstGeom prst="rect">
                      <a:avLst/>
                    </a:prstGeom>
                    <a:ln>
                      <a:solidFill>
                        <a:schemeClr val="tx1"/>
                      </a:solidFill>
                    </a:ln>
                  </pic:spPr>
                </pic:pic>
              </a:graphicData>
            </a:graphic>
          </wp:inline>
        </w:drawing>
      </w:r>
    </w:p>
    <w:p w14:paraId="57DDD3DE" w14:textId="77777777" w:rsidR="00775EC1" w:rsidRDefault="00775EC1">
      <w:pPr>
        <w:rPr>
          <w:b/>
          <w:bCs/>
        </w:rPr>
      </w:pPr>
    </w:p>
    <w:p w14:paraId="22D398BA" w14:textId="6E47E9B6" w:rsidR="003147E6" w:rsidRPr="004B4032" w:rsidRDefault="003147E6">
      <w:r w:rsidRPr="003147E6">
        <w:rPr>
          <w:b/>
          <w:bCs/>
        </w:rPr>
        <w:t>Direkte Schnittstelle zu möglichen Nahrungsergänzungen und therapeutischen Werkzeugen</w:t>
      </w:r>
      <w:r w:rsidR="004B4032">
        <w:rPr>
          <w:b/>
          <w:bCs/>
        </w:rPr>
        <w:br/>
      </w:r>
      <w:r w:rsidR="004B4032" w:rsidRPr="004B4032">
        <w:t xml:space="preserve">Als ein ganz wichtiger Schritt wird die Verknüpfung der Maps mit einem Onlineshop </w:t>
      </w:r>
      <w:r w:rsidR="004B4032">
        <w:t xml:space="preserve">angesehen. Dank dieser direkten Verknüpfung kann man von jeder Systemischen Health </w:t>
      </w:r>
      <w:proofErr w:type="spellStart"/>
      <w:r w:rsidR="004B4032">
        <w:t>Map</w:t>
      </w:r>
      <w:proofErr w:type="spellEnd"/>
      <w:r w:rsidR="004B4032">
        <w:t xml:space="preserve"> direkt auf den Onlineshop zugreifen und findet die in den Maps vorgestellten Produkte. Dazu war es zuerst nötig, einen Shop nicht wie bisher üblich sortiert nach Kategorien und Produkten, sondern nach gesundheitlichen Defiziten </w:t>
      </w:r>
      <w:r w:rsidR="009B4354">
        <w:t xml:space="preserve">aufzubauen und alle Produkte verschiedenen Defiziten zuzuordnen. Dieser Shop wird aktuell weiter ausgebaut und Nahrungsergänzungen verschiedener Hersteller wie DOM, </w:t>
      </w:r>
      <w:proofErr w:type="spellStart"/>
      <w:r w:rsidR="009B4354">
        <w:t>KingNature</w:t>
      </w:r>
      <w:proofErr w:type="spellEnd"/>
      <w:r w:rsidR="009B4354">
        <w:t xml:space="preserve">, </w:t>
      </w:r>
      <w:proofErr w:type="spellStart"/>
      <w:r w:rsidR="009B4354">
        <w:t>Vitactiv</w:t>
      </w:r>
      <w:proofErr w:type="spellEnd"/>
      <w:r w:rsidR="009B4354">
        <w:t xml:space="preserve">, </w:t>
      </w:r>
      <w:proofErr w:type="spellStart"/>
      <w:r w:rsidR="009B4354">
        <w:t>Arkis</w:t>
      </w:r>
      <w:proofErr w:type="spellEnd"/>
      <w:r w:rsidR="009B4354">
        <w:t xml:space="preserve">, </w:t>
      </w:r>
      <w:proofErr w:type="spellStart"/>
      <w:r w:rsidR="009B4354">
        <w:t>Botanicy</w:t>
      </w:r>
      <w:proofErr w:type="spellEnd"/>
      <w:r w:rsidR="009B4354">
        <w:t>, Medirevo und vielen anderen Firmen wurden bereits integriert.</w:t>
      </w:r>
    </w:p>
    <w:p w14:paraId="3F248434" w14:textId="77777777" w:rsidR="001130D0" w:rsidRDefault="009B4354" w:rsidP="009B4354">
      <w:r>
        <w:br/>
      </w:r>
    </w:p>
    <w:p w14:paraId="0687B677" w14:textId="77777777" w:rsidR="001130D0" w:rsidRDefault="001130D0">
      <w:r>
        <w:br w:type="page"/>
      </w:r>
    </w:p>
    <w:p w14:paraId="3A426CF9" w14:textId="76F094C1" w:rsidR="009B4354" w:rsidRDefault="009B4354" w:rsidP="009B4354">
      <w:r>
        <w:t>Die Maps enthalten unter anderem Produkt- und Therapieempfehlungen von..</w:t>
      </w:r>
    </w:p>
    <w:p w14:paraId="2E5FE8DA" w14:textId="77777777" w:rsidR="009B4354" w:rsidRDefault="009B4354" w:rsidP="009B4354">
      <w:pPr>
        <w:pStyle w:val="Listenabsatz"/>
        <w:numPr>
          <w:ilvl w:val="0"/>
          <w:numId w:val="1"/>
        </w:numPr>
        <w:sectPr w:rsidR="009B4354" w:rsidSect="0019793C">
          <w:pgSz w:w="11906" w:h="16838"/>
          <w:pgMar w:top="567" w:right="567" w:bottom="567" w:left="567" w:header="708" w:footer="708" w:gutter="0"/>
          <w:cols w:space="708"/>
          <w:docGrid w:linePitch="360"/>
        </w:sectPr>
      </w:pPr>
    </w:p>
    <w:p w14:paraId="215B7150" w14:textId="77777777" w:rsidR="009B4354" w:rsidRDefault="009B4354" w:rsidP="009B4354">
      <w:pPr>
        <w:pStyle w:val="Listenabsatz"/>
        <w:numPr>
          <w:ilvl w:val="0"/>
          <w:numId w:val="1"/>
        </w:numPr>
        <w:ind w:left="284" w:hanging="284"/>
      </w:pPr>
      <w:proofErr w:type="spellStart"/>
      <w:r>
        <w:t>DöTERRA</w:t>
      </w:r>
      <w:proofErr w:type="spellEnd"/>
    </w:p>
    <w:p w14:paraId="4C16D045" w14:textId="77777777" w:rsidR="009B4354" w:rsidRDefault="009B4354" w:rsidP="009B4354">
      <w:pPr>
        <w:pStyle w:val="Listenabsatz"/>
        <w:numPr>
          <w:ilvl w:val="0"/>
          <w:numId w:val="1"/>
        </w:numPr>
        <w:ind w:left="284" w:hanging="284"/>
      </w:pPr>
      <w:proofErr w:type="spellStart"/>
      <w:r>
        <w:t>KingNature</w:t>
      </w:r>
      <w:proofErr w:type="spellEnd"/>
    </w:p>
    <w:p w14:paraId="2240C87A" w14:textId="77777777" w:rsidR="009B4354" w:rsidRDefault="009B4354" w:rsidP="009B4354">
      <w:pPr>
        <w:pStyle w:val="Listenabsatz"/>
        <w:numPr>
          <w:ilvl w:val="0"/>
          <w:numId w:val="1"/>
        </w:numPr>
        <w:ind w:left="284" w:hanging="284"/>
      </w:pPr>
      <w:r>
        <w:t>Kneipp</w:t>
      </w:r>
    </w:p>
    <w:p w14:paraId="2A57A8E5" w14:textId="77777777" w:rsidR="009B4354" w:rsidRDefault="009B4354" w:rsidP="009B4354">
      <w:pPr>
        <w:pStyle w:val="Listenabsatz"/>
        <w:numPr>
          <w:ilvl w:val="0"/>
          <w:numId w:val="1"/>
        </w:numPr>
        <w:ind w:left="284" w:hanging="284"/>
      </w:pPr>
      <w:r>
        <w:t>Kräuter Lötsch</w:t>
      </w:r>
    </w:p>
    <w:p w14:paraId="7FF711FC" w14:textId="77777777" w:rsidR="009B4354" w:rsidRDefault="009B4354" w:rsidP="009B4354">
      <w:pPr>
        <w:pStyle w:val="Listenabsatz"/>
        <w:numPr>
          <w:ilvl w:val="0"/>
          <w:numId w:val="1"/>
        </w:numPr>
        <w:ind w:left="284" w:hanging="284"/>
      </w:pPr>
      <w:r>
        <w:t>Fitline</w:t>
      </w:r>
    </w:p>
    <w:p w14:paraId="4479E49C" w14:textId="77777777" w:rsidR="009B4354" w:rsidRPr="009B4354" w:rsidRDefault="009B4354" w:rsidP="009B4354">
      <w:pPr>
        <w:pStyle w:val="Listenabsatz"/>
        <w:numPr>
          <w:ilvl w:val="0"/>
          <w:numId w:val="1"/>
        </w:numPr>
        <w:ind w:left="284" w:hanging="284"/>
        <w:rPr>
          <w:lang w:val="en-US"/>
        </w:rPr>
      </w:pPr>
      <w:r w:rsidRPr="009B4354">
        <w:rPr>
          <w:lang w:val="en-US"/>
        </w:rPr>
        <w:t>Aura Soma</w:t>
      </w:r>
    </w:p>
    <w:p w14:paraId="13441C73" w14:textId="77777777" w:rsidR="009B4354" w:rsidRPr="009B4354" w:rsidRDefault="009B4354" w:rsidP="009B4354">
      <w:pPr>
        <w:pStyle w:val="Listenabsatz"/>
        <w:numPr>
          <w:ilvl w:val="0"/>
          <w:numId w:val="1"/>
        </w:numPr>
        <w:ind w:left="284" w:hanging="284"/>
        <w:rPr>
          <w:lang w:val="en-US"/>
        </w:rPr>
      </w:pPr>
      <w:r w:rsidRPr="009B4354">
        <w:rPr>
          <w:lang w:val="en-US"/>
        </w:rPr>
        <w:t>Young Living</w:t>
      </w:r>
    </w:p>
    <w:p w14:paraId="37043135" w14:textId="77777777" w:rsidR="009B4354" w:rsidRPr="009B4354" w:rsidRDefault="009B4354" w:rsidP="009B4354">
      <w:pPr>
        <w:pStyle w:val="Listenabsatz"/>
        <w:numPr>
          <w:ilvl w:val="0"/>
          <w:numId w:val="1"/>
        </w:numPr>
        <w:ind w:left="284" w:hanging="284"/>
        <w:rPr>
          <w:lang w:val="en-US"/>
        </w:rPr>
      </w:pPr>
      <w:proofErr w:type="spellStart"/>
      <w:r w:rsidRPr="009B4354">
        <w:rPr>
          <w:lang w:val="en-US"/>
        </w:rPr>
        <w:t>LifePlus</w:t>
      </w:r>
      <w:proofErr w:type="spellEnd"/>
    </w:p>
    <w:p w14:paraId="36E09865" w14:textId="77777777" w:rsidR="009B4354" w:rsidRPr="009B4354" w:rsidRDefault="009B4354" w:rsidP="009B4354">
      <w:pPr>
        <w:pStyle w:val="Listenabsatz"/>
        <w:numPr>
          <w:ilvl w:val="0"/>
          <w:numId w:val="1"/>
        </w:numPr>
        <w:ind w:left="284" w:hanging="284"/>
        <w:rPr>
          <w:lang w:val="en-US"/>
        </w:rPr>
      </w:pPr>
      <w:r w:rsidRPr="009B4354">
        <w:rPr>
          <w:lang w:val="en-US"/>
        </w:rPr>
        <w:t>DOM</w:t>
      </w:r>
    </w:p>
    <w:p w14:paraId="614321DF" w14:textId="77777777" w:rsidR="009B4354" w:rsidRDefault="009B4354" w:rsidP="009B4354">
      <w:pPr>
        <w:pStyle w:val="Listenabsatz"/>
        <w:numPr>
          <w:ilvl w:val="0"/>
          <w:numId w:val="1"/>
        </w:numPr>
        <w:ind w:left="284" w:hanging="284"/>
      </w:pPr>
      <w:r>
        <w:t>Robert Franz</w:t>
      </w:r>
    </w:p>
    <w:p w14:paraId="67775747" w14:textId="77777777" w:rsidR="009B4354" w:rsidRDefault="009B4354" w:rsidP="009B4354">
      <w:pPr>
        <w:pStyle w:val="Listenabsatz"/>
        <w:numPr>
          <w:ilvl w:val="0"/>
          <w:numId w:val="1"/>
        </w:numPr>
      </w:pPr>
      <w:r>
        <w:t>Burgerstein</w:t>
      </w:r>
    </w:p>
    <w:p w14:paraId="685C34E1" w14:textId="77777777" w:rsidR="009B4354" w:rsidRDefault="009B4354" w:rsidP="009B4354">
      <w:pPr>
        <w:pStyle w:val="Listenabsatz"/>
        <w:numPr>
          <w:ilvl w:val="0"/>
          <w:numId w:val="1"/>
        </w:numPr>
      </w:pPr>
      <w:proofErr w:type="spellStart"/>
      <w:r>
        <w:t>Botanicy</w:t>
      </w:r>
      <w:proofErr w:type="spellEnd"/>
    </w:p>
    <w:p w14:paraId="34657FC5" w14:textId="77777777" w:rsidR="009B4354" w:rsidRDefault="009B4354" w:rsidP="009B4354">
      <w:pPr>
        <w:pStyle w:val="Listenabsatz"/>
        <w:numPr>
          <w:ilvl w:val="0"/>
          <w:numId w:val="1"/>
        </w:numPr>
      </w:pPr>
      <w:proofErr w:type="spellStart"/>
      <w:r>
        <w:t>Vitactiv</w:t>
      </w:r>
      <w:proofErr w:type="spellEnd"/>
    </w:p>
    <w:p w14:paraId="34E36EDA" w14:textId="77777777" w:rsidR="009B4354" w:rsidRDefault="009B4354" w:rsidP="009B4354">
      <w:pPr>
        <w:pStyle w:val="Listenabsatz"/>
        <w:numPr>
          <w:ilvl w:val="0"/>
          <w:numId w:val="1"/>
        </w:numPr>
      </w:pPr>
      <w:r>
        <w:t>Vitality (Vitamin Express)</w:t>
      </w:r>
    </w:p>
    <w:p w14:paraId="14206336" w14:textId="77777777" w:rsidR="009B4354" w:rsidRDefault="009B4354" w:rsidP="009B4354">
      <w:pPr>
        <w:pStyle w:val="Listenabsatz"/>
        <w:numPr>
          <w:ilvl w:val="0"/>
          <w:numId w:val="1"/>
        </w:numPr>
      </w:pPr>
      <w:r>
        <w:t>Jeunesse</w:t>
      </w:r>
    </w:p>
    <w:p w14:paraId="398AC311" w14:textId="77777777" w:rsidR="009B4354" w:rsidRDefault="009B4354" w:rsidP="009B4354">
      <w:pPr>
        <w:pStyle w:val="Listenabsatz"/>
        <w:numPr>
          <w:ilvl w:val="0"/>
          <w:numId w:val="1"/>
        </w:numPr>
      </w:pPr>
      <w:r>
        <w:t>Forever</w:t>
      </w:r>
    </w:p>
    <w:p w14:paraId="1B6A42B6" w14:textId="77777777" w:rsidR="009B4354" w:rsidRDefault="009B4354" w:rsidP="009B4354">
      <w:pPr>
        <w:pStyle w:val="Listenabsatz"/>
        <w:numPr>
          <w:ilvl w:val="0"/>
          <w:numId w:val="1"/>
        </w:numPr>
      </w:pPr>
      <w:proofErr w:type="spellStart"/>
      <w:r>
        <w:t>Cili</w:t>
      </w:r>
      <w:proofErr w:type="spellEnd"/>
    </w:p>
    <w:p w14:paraId="568E0A4C" w14:textId="77777777" w:rsidR="009B4354" w:rsidRDefault="009B4354" w:rsidP="009B4354">
      <w:pPr>
        <w:pStyle w:val="Listenabsatz"/>
        <w:numPr>
          <w:ilvl w:val="0"/>
          <w:numId w:val="1"/>
        </w:numPr>
      </w:pPr>
      <w:r>
        <w:t>LR</w:t>
      </w:r>
    </w:p>
    <w:p w14:paraId="222DD8B5" w14:textId="77777777" w:rsidR="009B4354" w:rsidRDefault="009B4354" w:rsidP="009B4354">
      <w:pPr>
        <w:pStyle w:val="Listenabsatz"/>
        <w:numPr>
          <w:ilvl w:val="0"/>
          <w:numId w:val="1"/>
        </w:numPr>
      </w:pPr>
      <w:proofErr w:type="spellStart"/>
      <w:r>
        <w:t>HempMate</w:t>
      </w:r>
      <w:proofErr w:type="spellEnd"/>
    </w:p>
    <w:p w14:paraId="30E93CFD" w14:textId="3ADCAB02" w:rsidR="0019793C" w:rsidRDefault="009B4354" w:rsidP="009B4354">
      <w:pPr>
        <w:pStyle w:val="Listenabsatz"/>
        <w:numPr>
          <w:ilvl w:val="0"/>
          <w:numId w:val="1"/>
        </w:numPr>
      </w:pPr>
      <w:r>
        <w:t>VDM</w:t>
      </w:r>
    </w:p>
    <w:p w14:paraId="3074BB47" w14:textId="77777777" w:rsidR="009B4354" w:rsidRDefault="009B4354" w:rsidP="009B4354">
      <w:pPr>
        <w:sectPr w:rsidR="009B4354" w:rsidSect="009B4354">
          <w:type w:val="continuous"/>
          <w:pgSz w:w="11906" w:h="16838"/>
          <w:pgMar w:top="567" w:right="4393" w:bottom="567" w:left="567" w:header="708" w:footer="708" w:gutter="0"/>
          <w:cols w:num="2" w:space="568"/>
          <w:docGrid w:linePitch="360"/>
        </w:sectPr>
      </w:pPr>
    </w:p>
    <w:p w14:paraId="3E993E99" w14:textId="77777777" w:rsidR="009B4354" w:rsidRDefault="009B4354" w:rsidP="009B4354"/>
    <w:p w14:paraId="1A1C0AC3" w14:textId="3FC25043" w:rsidR="00775EC1" w:rsidRDefault="003147E6">
      <w:r w:rsidRPr="003147E6">
        <w:rPr>
          <w:b/>
          <w:bCs/>
        </w:rPr>
        <w:t>Minimale Kosten bei einem Maximum an Informationen und Unterstützung</w:t>
      </w:r>
      <w:r w:rsidR="009B4354">
        <w:rPr>
          <w:b/>
          <w:bCs/>
        </w:rPr>
        <w:br/>
      </w:r>
      <w:r w:rsidR="00C4082A">
        <w:t xml:space="preserve">Im VDM </w:t>
      </w:r>
      <w:proofErr w:type="spellStart"/>
      <w:r w:rsidR="00C4082A">
        <w:t>MedPad</w:t>
      </w:r>
      <w:proofErr w:type="spellEnd"/>
      <w:r w:rsidR="00C4082A">
        <w:t xml:space="preserve"> sind aber nicht nur die Systemischen Health Maps integriert, sondern Anwender/innen eines Quanten Resonanz Analysers können über diese Plattform auch exklusiv den VDM-Analyser nutzen um eine vorhandene Messung vollautomatisch analysieren lassen zu können sowie mittels des Bots «Medical </w:t>
      </w:r>
      <w:proofErr w:type="spellStart"/>
      <w:r w:rsidR="00C4082A">
        <w:t>Doctor</w:t>
      </w:r>
      <w:proofErr w:type="spellEnd"/>
      <w:r w:rsidR="00C4082A">
        <w:t>» zu über 5000 erfassten Fragen rund um die Quanten Resonanz Analyse und Vitalstoffmessung eine passende Antwort zu erhalten.</w:t>
      </w:r>
      <w:r w:rsidR="00C4082A">
        <w:br/>
      </w:r>
    </w:p>
    <w:p w14:paraId="1C8DF934" w14:textId="7F4EF1A9" w:rsidR="00725936" w:rsidRDefault="00725936">
      <w:r>
        <w:rPr>
          <w:noProof/>
        </w:rPr>
        <w:drawing>
          <wp:inline distT="0" distB="0" distL="0" distR="0" wp14:anchorId="1299EE16" wp14:editId="6C792744">
            <wp:extent cx="5419725" cy="4086225"/>
            <wp:effectExtent l="19050" t="19050" r="28575" b="28575"/>
            <wp:docPr id="5" name="Grafik 5"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isch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5419725" cy="4086225"/>
                    </a:xfrm>
                    <a:prstGeom prst="rect">
                      <a:avLst/>
                    </a:prstGeom>
                    <a:ln>
                      <a:solidFill>
                        <a:schemeClr val="tx1"/>
                      </a:solidFill>
                    </a:ln>
                  </pic:spPr>
                </pic:pic>
              </a:graphicData>
            </a:graphic>
          </wp:inline>
        </w:drawing>
      </w:r>
    </w:p>
    <w:p w14:paraId="5A1307F5" w14:textId="68319396" w:rsidR="00775EC1" w:rsidRDefault="00725936">
      <w:r>
        <w:rPr>
          <w:noProof/>
        </w:rPr>
        <w:drawing>
          <wp:inline distT="0" distB="0" distL="0" distR="0" wp14:anchorId="5E0668D5" wp14:editId="0647212E">
            <wp:extent cx="6840220" cy="3176270"/>
            <wp:effectExtent l="19050" t="19050" r="17780" b="2413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9">
                      <a:extLst>
                        <a:ext uri="{28A0092B-C50C-407E-A947-70E740481C1C}">
                          <a14:useLocalDpi xmlns:a14="http://schemas.microsoft.com/office/drawing/2010/main" val="0"/>
                        </a:ext>
                      </a:extLst>
                    </a:blip>
                    <a:stretch>
                      <a:fillRect/>
                    </a:stretch>
                  </pic:blipFill>
                  <pic:spPr>
                    <a:xfrm>
                      <a:off x="0" y="0"/>
                      <a:ext cx="6840220" cy="3176270"/>
                    </a:xfrm>
                    <a:prstGeom prst="rect">
                      <a:avLst/>
                    </a:prstGeom>
                    <a:ln>
                      <a:solidFill>
                        <a:schemeClr val="tx1"/>
                      </a:solidFill>
                    </a:ln>
                  </pic:spPr>
                </pic:pic>
              </a:graphicData>
            </a:graphic>
          </wp:inline>
        </w:drawing>
      </w:r>
    </w:p>
    <w:p w14:paraId="50F7BEB4" w14:textId="4B5BD7BB" w:rsidR="00725936" w:rsidRDefault="00725936"/>
    <w:p w14:paraId="1D7000B2" w14:textId="1A8F74FB" w:rsidR="00725936" w:rsidRDefault="00725936">
      <w:r w:rsidRPr="00725936">
        <w:drawing>
          <wp:inline distT="0" distB="0" distL="0" distR="0" wp14:anchorId="0C8770EB" wp14:editId="6A8795EC">
            <wp:extent cx="6840220" cy="4347845"/>
            <wp:effectExtent l="19050" t="19050" r="17780" b="14605"/>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10"/>
                    <a:stretch>
                      <a:fillRect/>
                    </a:stretch>
                  </pic:blipFill>
                  <pic:spPr>
                    <a:xfrm>
                      <a:off x="0" y="0"/>
                      <a:ext cx="6840220" cy="4347845"/>
                    </a:xfrm>
                    <a:prstGeom prst="rect">
                      <a:avLst/>
                    </a:prstGeom>
                    <a:ln>
                      <a:solidFill>
                        <a:schemeClr val="tx1"/>
                      </a:solidFill>
                    </a:ln>
                  </pic:spPr>
                </pic:pic>
              </a:graphicData>
            </a:graphic>
          </wp:inline>
        </w:drawing>
      </w:r>
    </w:p>
    <w:p w14:paraId="127AB6E3" w14:textId="1D7DD6DC" w:rsidR="003D694A" w:rsidRPr="0019793C" w:rsidRDefault="001130D0">
      <w:r>
        <w:br/>
      </w:r>
      <w:r w:rsidR="009B4354" w:rsidRPr="009B4354">
        <w:t>Abgerundet wird das komplette Angebot</w:t>
      </w:r>
      <w:r w:rsidR="009B4354">
        <w:t xml:space="preserve">, welches man als </w:t>
      </w:r>
      <w:r w:rsidR="009B4354" w:rsidRPr="00C4082A">
        <w:rPr>
          <w:b/>
          <w:bCs/>
        </w:rPr>
        <w:t>Jahresabo für nur gerade mal Fr. 8.—/Monat</w:t>
      </w:r>
      <w:r w:rsidR="009B4354">
        <w:t xml:space="preserve"> beziehen kann </w:t>
      </w:r>
      <w:r w:rsidR="00C4082A">
        <w:t>um zahlreiche Dokumente zu Themen wie Fettstoffwechsel ankurbeln, Darmreinigung, Wasser sowie zahlreichen Schaubildern</w:t>
      </w:r>
      <w:r w:rsidR="00775EC1">
        <w:t xml:space="preserve"> und den exklusiven Zugang zum Akury Analyser, mit welchem man nach Eingabe eines Defizites sofort ein Feedback erhält, welcher Akury© Chip unterstützend eingesetzt werden kann.</w:t>
      </w:r>
      <w:r w:rsidR="00C4082A">
        <w:br/>
      </w:r>
      <w:r w:rsidR="00C4082A">
        <w:br/>
        <w:t>Weitere Informationen und Anmeldung:</w:t>
      </w:r>
      <w:r w:rsidR="00C4082A">
        <w:br/>
        <w:t>https://www.vdm-shm.ch</w:t>
      </w:r>
      <w:r w:rsidR="0019793C" w:rsidRPr="0019793C">
        <w:br/>
      </w:r>
      <w:r>
        <w:br/>
      </w:r>
    </w:p>
    <w:sectPr w:rsidR="003D694A" w:rsidRPr="0019793C" w:rsidSect="009B4354">
      <w:type w:val="continuous"/>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F4B1B"/>
    <w:multiLevelType w:val="hybridMultilevel"/>
    <w:tmpl w:val="0B9007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028526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93C"/>
    <w:rsid w:val="001130D0"/>
    <w:rsid w:val="0019793C"/>
    <w:rsid w:val="002A0566"/>
    <w:rsid w:val="003147E6"/>
    <w:rsid w:val="004430EA"/>
    <w:rsid w:val="004B4032"/>
    <w:rsid w:val="00725936"/>
    <w:rsid w:val="00775EC1"/>
    <w:rsid w:val="009B4354"/>
    <w:rsid w:val="00BF4B80"/>
    <w:rsid w:val="00C16A97"/>
    <w:rsid w:val="00C4082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F78A1"/>
  <w15:chartTrackingRefBased/>
  <w15:docId w15:val="{6EBB462B-F76C-4BBB-95A4-6B9738704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B4354"/>
    <w:pPr>
      <w:ind w:left="720"/>
      <w:contextualSpacing/>
    </w:pPr>
  </w:style>
  <w:style w:type="character" w:styleId="Hyperlink">
    <w:name w:val="Hyperlink"/>
    <w:basedOn w:val="Absatz-Standardschriftart"/>
    <w:uiPriority w:val="99"/>
    <w:unhideWhenUsed/>
    <w:rsid w:val="001130D0"/>
    <w:rPr>
      <w:color w:val="0563C1" w:themeColor="hyperlink"/>
      <w:u w:val="single"/>
    </w:rPr>
  </w:style>
  <w:style w:type="character" w:styleId="NichtaufgelsteErwhnung">
    <w:name w:val="Unresolved Mention"/>
    <w:basedOn w:val="Absatz-Standardschriftart"/>
    <w:uiPriority w:val="99"/>
    <w:semiHidden/>
    <w:unhideWhenUsed/>
    <w:rsid w:val="00113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vdm-shm/presse"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578</Words>
  <Characters>3776</Characters>
  <Application>Microsoft Office Word</Application>
  <DocSecurity>0</DocSecurity>
  <Lines>94</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Rupp</dc:creator>
  <cp:keywords/>
  <dc:description/>
  <cp:lastModifiedBy>Roland Rupp</cp:lastModifiedBy>
  <cp:revision>4</cp:revision>
  <dcterms:created xsi:type="dcterms:W3CDTF">2023-01-17T15:24:00Z</dcterms:created>
  <dcterms:modified xsi:type="dcterms:W3CDTF">2023-01-17T15:47:00Z</dcterms:modified>
</cp:coreProperties>
</file>